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 w:rsidP="00C7683A">
      <w:pPr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2C7317D9" wp14:editId="5666ACA2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C7683A" w:rsidRPr="00C7683A" w:rsidRDefault="00C7683A" w:rsidP="00C7683A">
      <w:pPr>
        <w:pStyle w:val="1"/>
        <w:jc w:val="center"/>
        <w:rPr>
          <w:kern w:val="36"/>
          <w:sz w:val="28"/>
          <w:szCs w:val="28"/>
          <w:lang w:eastAsia="ru-RU"/>
        </w:rPr>
      </w:pPr>
      <w:r w:rsidRPr="00C7683A">
        <w:rPr>
          <w:kern w:val="36"/>
          <w:sz w:val="28"/>
          <w:szCs w:val="28"/>
          <w:lang w:eastAsia="ru-RU"/>
        </w:rPr>
        <w:t>Пенсионный фонд России подвел итоги переходной кампании 2019 года</w:t>
      </w:r>
    </w:p>
    <w:p w:rsidR="00C7683A" w:rsidRDefault="009326E2" w:rsidP="00C7683A">
      <w:pPr>
        <w:pStyle w:val="ad"/>
        <w:jc w:val="both"/>
      </w:pPr>
      <w:r>
        <w:t xml:space="preserve">           </w:t>
      </w:r>
      <w:r w:rsidR="00C7683A">
        <w:t>Пенсионный фонд России подвел итоги переходной кампании 2019 года по переводу пенсионных накоплений в негосударственные пенсионные фонды и управляющие компании.</w:t>
      </w:r>
    </w:p>
    <w:p w:rsidR="00C7683A" w:rsidRDefault="009326E2" w:rsidP="00C7683A">
      <w:pPr>
        <w:pStyle w:val="ad"/>
        <w:jc w:val="both"/>
      </w:pPr>
      <w:r>
        <w:t xml:space="preserve">          </w:t>
      </w:r>
      <w:r w:rsidR="00C7683A">
        <w:t xml:space="preserve">Согласно им за прошлый год в ПФР было подано 345 тыс. заявлений о переводе средств. По сравнению с кампанией 2018 года количество заявлений сократилось в 5,7 раза (с 2 </w:t>
      </w:r>
      <w:proofErr w:type="gramStart"/>
      <w:r w:rsidR="00C7683A">
        <w:t>млн</w:t>
      </w:r>
      <w:proofErr w:type="gramEnd"/>
      <w:r w:rsidR="00C7683A">
        <w:t>), на что прежде всего повлияли новые правила перехода в другой фонд, вступившие в силу с начала 2019-го, а также информирование о потерях при досрочном переводе средств ранее пяти лет.</w:t>
      </w:r>
    </w:p>
    <w:p w:rsidR="00C7683A" w:rsidRDefault="009326E2" w:rsidP="00C7683A">
      <w:pPr>
        <w:pStyle w:val="ad"/>
        <w:jc w:val="both"/>
      </w:pPr>
      <w:r>
        <w:t xml:space="preserve">          </w:t>
      </w:r>
      <w:r w:rsidR="00C7683A">
        <w:t>К рассмотрению также были приняты 195,4 тыс. заявлений о срочном переходе к новому страховщику (по истечении пяти лет), поданные в 2015 году.</w:t>
      </w:r>
    </w:p>
    <w:p w:rsidR="00C7683A" w:rsidRDefault="009326E2" w:rsidP="00C7683A">
      <w:pPr>
        <w:pStyle w:val="ad"/>
        <w:jc w:val="both"/>
      </w:pPr>
      <w:r>
        <w:t xml:space="preserve">          </w:t>
      </w:r>
      <w:r w:rsidR="00C7683A">
        <w:t>В итоге из 540,4 тыс. рассмотренных заявлений положительное решение вынесено по 432,4 тыс. заявлений, то есть по 80%.</w:t>
      </w:r>
    </w:p>
    <w:p w:rsidR="00C7683A" w:rsidRDefault="009326E2" w:rsidP="00C7683A">
      <w:pPr>
        <w:pStyle w:val="ad"/>
        <w:jc w:val="both"/>
      </w:pPr>
      <w:r>
        <w:t xml:space="preserve">          </w:t>
      </w:r>
      <w:r w:rsidR="00C7683A">
        <w:t>В соответствии с удовлетворенными заявлениями больше всего участников переходной кампании (187,3 тыс. человек, или 43,3%), как и в прошлом году, перешли из одного негосударственного пенсионного фонда в другой. В связи с реорганизацией НПФ такой переход сделали 14 тыс. человек.</w:t>
      </w:r>
    </w:p>
    <w:p w:rsidR="00C7683A" w:rsidRDefault="009326E2" w:rsidP="00C7683A">
      <w:pPr>
        <w:pStyle w:val="ad"/>
        <w:jc w:val="both"/>
      </w:pPr>
      <w:r>
        <w:t xml:space="preserve">          </w:t>
      </w:r>
      <w:r w:rsidR="00C7683A">
        <w:t>138,8 тыс. человек (32,1% всех участников кампании) перевели пенсионные накопления из ПФР в НПФ, 104,9 тыс. человек (24,3%) вернулись из НПФ в ПФР, 1,4 тыс. участников (0,3%) сменили управляющую компанию, оставшись в ПФР.</w:t>
      </w:r>
    </w:p>
    <w:p w:rsidR="00C7683A" w:rsidRDefault="009326E2" w:rsidP="00C7683A">
      <w:pPr>
        <w:pStyle w:val="ad"/>
        <w:jc w:val="both"/>
      </w:pPr>
      <w:r>
        <w:t xml:space="preserve">           </w:t>
      </w:r>
      <w:r w:rsidR="00C7683A">
        <w:t xml:space="preserve">Особенностью переходной кампании прошлого года стало информирование граждан о последствиях преждевременной смены пенсионного фонда, а также возможность отозвать ранее поданное заявление о переходе в новый фонд. В течение 2019 года Пенсионный фонд направил 3,7 </w:t>
      </w:r>
      <w:proofErr w:type="gramStart"/>
      <w:r w:rsidR="00C7683A">
        <w:t>млн</w:t>
      </w:r>
      <w:proofErr w:type="gramEnd"/>
      <w:r w:rsidR="00C7683A">
        <w:t xml:space="preserve"> уведомлений о сумме потерь при досрочном переводе средств и принял 10,8 тыс. уведомлений граждан об отмене перехода в другой фонд.</w:t>
      </w:r>
    </w:p>
    <w:p w:rsidR="00C7683A" w:rsidRDefault="009326E2" w:rsidP="00C7683A">
      <w:pPr>
        <w:pStyle w:val="ad"/>
        <w:jc w:val="both"/>
      </w:pPr>
      <w:r>
        <w:t xml:space="preserve">         </w:t>
      </w:r>
      <w:r w:rsidR="00C7683A">
        <w:t>В результате доля досрочных переходов по итогам прошлого года сократилась до 60,5% (с 95,8% в 2018-м), а потери граждан из-за досрочного перевода накоплений стали наименьшими по сравнению с кампаниями предыдущих лет.</w:t>
      </w:r>
    </w:p>
    <w:p w:rsidR="00C7683A" w:rsidRDefault="009326E2" w:rsidP="00C7683A">
      <w:pPr>
        <w:pStyle w:val="ad"/>
        <w:jc w:val="both"/>
      </w:pPr>
      <w:r>
        <w:t xml:space="preserve">         </w:t>
      </w:r>
      <w:r w:rsidR="00C7683A">
        <w:t>Помимо этого, доля участников переходной кампании, вернувшихся из НПФ в ПФР, выросла по сравнению с 2018 годом более чем в пять раз: с 4,6% до 24,3%.</w:t>
      </w:r>
    </w:p>
    <w:p w:rsidR="00C7683A" w:rsidRDefault="009326E2" w:rsidP="009326E2">
      <w:pPr>
        <w:pStyle w:val="ad"/>
        <w:jc w:val="both"/>
      </w:pPr>
      <w:r>
        <w:lastRenderedPageBreak/>
        <w:t xml:space="preserve">           </w:t>
      </w:r>
      <w:r w:rsidR="00C7683A">
        <w:t>По итогам прошлого года Пенсионный фонд России передал в негосударственные фонды 12,2 </w:t>
      </w:r>
      <w:proofErr w:type="gramStart"/>
      <w:r w:rsidR="00C7683A">
        <w:t>млрд</w:t>
      </w:r>
      <w:proofErr w:type="gramEnd"/>
      <w:r w:rsidR="00C7683A">
        <w:t xml:space="preserve"> рублей и 0,3 млрд рублей направил в управляющие компании.</w:t>
      </w:r>
    </w:p>
    <w:p w:rsidR="00C7683A" w:rsidRDefault="009326E2" w:rsidP="009326E2">
      <w:pPr>
        <w:pStyle w:val="ad"/>
        <w:jc w:val="both"/>
      </w:pPr>
      <w:r>
        <w:t xml:space="preserve">          </w:t>
      </w:r>
      <w:r w:rsidR="00C7683A">
        <w:t>Сумма инвестиционного дохода, зачисленная ПФР в резерв по обязательному пенсионному страхованию в результате досрочного перехода граждан из ПФР в НПФ, составила 2 </w:t>
      </w:r>
      <w:proofErr w:type="gramStart"/>
      <w:r w:rsidR="00C7683A">
        <w:t>млрд</w:t>
      </w:r>
      <w:proofErr w:type="gramEnd"/>
      <w:r w:rsidR="00C7683A">
        <w:t xml:space="preserve"> рублей.</w:t>
      </w:r>
    </w:p>
    <w:p w:rsidR="00C7683A" w:rsidRDefault="009326E2" w:rsidP="009326E2">
      <w:pPr>
        <w:pStyle w:val="ad"/>
        <w:jc w:val="both"/>
      </w:pPr>
      <w:r>
        <w:t xml:space="preserve">           </w:t>
      </w:r>
      <w:r w:rsidR="00C7683A">
        <w:t>Сегодня пенсионные накопления в государственной управляющей компании ВЭБ</w:t>
      </w:r>
      <w:proofErr w:type="gramStart"/>
      <w:r w:rsidR="00C7683A">
        <w:t>.Р</w:t>
      </w:r>
      <w:proofErr w:type="gramEnd"/>
      <w:r w:rsidR="00C7683A">
        <w:t>Ф формируют 38,6 млн застрахованных лиц, в негосударственных пенсионных фондах – 37,4 млн граждан, в частных управляющих компаниях – 0,3 млн граждан.</w:t>
      </w:r>
    </w:p>
    <w:p w:rsidR="00C7683A" w:rsidRDefault="009326E2" w:rsidP="009326E2">
      <w:pPr>
        <w:pStyle w:val="ad"/>
        <w:jc w:val="both"/>
      </w:pPr>
      <w:r>
        <w:t xml:space="preserve">           </w:t>
      </w:r>
      <w:bookmarkStart w:id="0" w:name="_GoBack"/>
      <w:bookmarkEnd w:id="0"/>
      <w:r w:rsidR="00C7683A">
        <w:t xml:space="preserve">Напомним, заявление о переводе пенсионных накоплений в другой фонд или управляющую компанию принимается до 1 декабря. Подать его можно через </w:t>
      </w:r>
      <w:hyperlink r:id="rId9" w:tgtFrame="_blank" w:history="1">
        <w:r w:rsidR="00C7683A">
          <w:rPr>
            <w:rStyle w:val="a4"/>
          </w:rPr>
          <w:t>электронный сервис</w:t>
        </w:r>
      </w:hyperlink>
      <w:r w:rsidR="00C7683A">
        <w:t xml:space="preserve"> портала </w:t>
      </w:r>
      <w:proofErr w:type="spellStart"/>
      <w:r w:rsidR="00C7683A">
        <w:t>Госуслуг</w:t>
      </w:r>
      <w:proofErr w:type="spellEnd"/>
      <w:r w:rsidR="00C7683A">
        <w:t>.</w:t>
      </w:r>
    </w:p>
    <w:p w:rsidR="0028358E" w:rsidRDefault="00C7683A" w:rsidP="00C7683A">
      <w:pPr>
        <w:pStyle w:val="ad"/>
      </w:pPr>
      <w:r>
        <w:t> </w:t>
      </w:r>
    </w:p>
    <w:p w:rsidR="006C296F" w:rsidRDefault="006C296F">
      <w:pPr>
        <w:ind w:left="5664" w:firstLine="708"/>
        <w:jc w:val="both"/>
      </w:pPr>
      <w:r>
        <w:t xml:space="preserve">    </w:t>
      </w:r>
      <w:r w:rsidR="00241F49">
        <w:t xml:space="preserve">                   </w:t>
      </w:r>
      <w:r>
        <w:t xml:space="preserve">  Пресс-служба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92C17"/>
    <w:multiLevelType w:val="multilevel"/>
    <w:tmpl w:val="5A9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13553"/>
    <w:multiLevelType w:val="multilevel"/>
    <w:tmpl w:val="E296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F46B4"/>
    <w:multiLevelType w:val="multilevel"/>
    <w:tmpl w:val="390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3CFD"/>
    <w:rsid w:val="000149D2"/>
    <w:rsid w:val="0002447A"/>
    <w:rsid w:val="00072AB9"/>
    <w:rsid w:val="00091923"/>
    <w:rsid w:val="000A02A9"/>
    <w:rsid w:val="00111B7A"/>
    <w:rsid w:val="00157342"/>
    <w:rsid w:val="00163C4F"/>
    <w:rsid w:val="00166779"/>
    <w:rsid w:val="00190C5A"/>
    <w:rsid w:val="001C16CA"/>
    <w:rsid w:val="001E6A1E"/>
    <w:rsid w:val="002015C9"/>
    <w:rsid w:val="0020718F"/>
    <w:rsid w:val="002123D9"/>
    <w:rsid w:val="002204CC"/>
    <w:rsid w:val="00241F49"/>
    <w:rsid w:val="0027590F"/>
    <w:rsid w:val="0028358E"/>
    <w:rsid w:val="002B3861"/>
    <w:rsid w:val="0034193D"/>
    <w:rsid w:val="00357389"/>
    <w:rsid w:val="003A3298"/>
    <w:rsid w:val="003C0092"/>
    <w:rsid w:val="003C515A"/>
    <w:rsid w:val="003E5C23"/>
    <w:rsid w:val="003E726D"/>
    <w:rsid w:val="003F521F"/>
    <w:rsid w:val="004040F6"/>
    <w:rsid w:val="004749D3"/>
    <w:rsid w:val="004910ED"/>
    <w:rsid w:val="004A4521"/>
    <w:rsid w:val="004B3E72"/>
    <w:rsid w:val="005232C4"/>
    <w:rsid w:val="0055102E"/>
    <w:rsid w:val="0055543A"/>
    <w:rsid w:val="005B1E8F"/>
    <w:rsid w:val="005D2D94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557B9"/>
    <w:rsid w:val="007E5313"/>
    <w:rsid w:val="0080391B"/>
    <w:rsid w:val="0083512B"/>
    <w:rsid w:val="00842B58"/>
    <w:rsid w:val="00885A7D"/>
    <w:rsid w:val="008A566E"/>
    <w:rsid w:val="008C0DB5"/>
    <w:rsid w:val="008C388C"/>
    <w:rsid w:val="008F0158"/>
    <w:rsid w:val="008F2CBA"/>
    <w:rsid w:val="009326E2"/>
    <w:rsid w:val="00936F3C"/>
    <w:rsid w:val="00972882"/>
    <w:rsid w:val="00984C09"/>
    <w:rsid w:val="00986E51"/>
    <w:rsid w:val="009C45F2"/>
    <w:rsid w:val="009E3114"/>
    <w:rsid w:val="00A239CA"/>
    <w:rsid w:val="00A82B24"/>
    <w:rsid w:val="00AB5AE0"/>
    <w:rsid w:val="00AC28DF"/>
    <w:rsid w:val="00AD3D0D"/>
    <w:rsid w:val="00B126A4"/>
    <w:rsid w:val="00B13FB2"/>
    <w:rsid w:val="00B41EC0"/>
    <w:rsid w:val="00BB74D6"/>
    <w:rsid w:val="00BC426B"/>
    <w:rsid w:val="00BE1BC4"/>
    <w:rsid w:val="00C166A3"/>
    <w:rsid w:val="00C46430"/>
    <w:rsid w:val="00C623BC"/>
    <w:rsid w:val="00C67A1E"/>
    <w:rsid w:val="00C7683A"/>
    <w:rsid w:val="00C902DD"/>
    <w:rsid w:val="00CD3860"/>
    <w:rsid w:val="00D311DE"/>
    <w:rsid w:val="00D42DA4"/>
    <w:rsid w:val="00D6331D"/>
    <w:rsid w:val="00DB038B"/>
    <w:rsid w:val="00DB0FBA"/>
    <w:rsid w:val="00DD2E51"/>
    <w:rsid w:val="00E10492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257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9302-1A52-49F9-8E84-B0BB18B8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2020-04-13T05:43:00Z</cp:lastPrinted>
  <dcterms:created xsi:type="dcterms:W3CDTF">2020-04-14T11:02:00Z</dcterms:created>
  <dcterms:modified xsi:type="dcterms:W3CDTF">2020-04-14T11:02:00Z</dcterms:modified>
</cp:coreProperties>
</file>