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EF24C0">
              <w:rPr>
                <w:rStyle w:val="a7"/>
              </w:rPr>
              <w:t xml:space="preserve"> 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Default="00A9345F" w:rsidP="00A9345F">
            <w:pPr>
              <w:spacing w:after="0"/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hyperlink r:id="rId8" w:history="1">
              <w:r w:rsidR="00EF24C0" w:rsidRPr="007B2C44">
                <w:rPr>
                  <w:rStyle w:val="a4"/>
                  <w:lang w:val="en-US"/>
                </w:rPr>
                <w:t>smi</w:t>
              </w:r>
              <w:r w:rsidR="00EF24C0" w:rsidRPr="007B2C44">
                <w:rPr>
                  <w:rStyle w:val="a4"/>
                </w:rPr>
                <w:t>@086.</w:t>
              </w:r>
              <w:r w:rsidR="00EF24C0" w:rsidRPr="007B2C44">
                <w:rPr>
                  <w:rStyle w:val="a4"/>
                  <w:lang w:val="en-US"/>
                </w:rPr>
                <w:t>pfr</w:t>
              </w:r>
              <w:r w:rsidR="00EF24C0" w:rsidRPr="007B2C44">
                <w:rPr>
                  <w:rStyle w:val="a4"/>
                </w:rPr>
                <w:t>.</w:t>
              </w:r>
              <w:r w:rsidR="00EF24C0" w:rsidRPr="007B2C44">
                <w:rPr>
                  <w:rStyle w:val="a4"/>
                  <w:lang w:val="en-US"/>
                </w:rPr>
                <w:t>ru</w:t>
              </w:r>
            </w:hyperlink>
          </w:p>
          <w:p w:rsidR="00EF24C0" w:rsidRDefault="00EF24C0" w:rsidP="00A9345F">
            <w:pPr>
              <w:spacing w:after="0"/>
            </w:pPr>
          </w:p>
          <w:p w:rsidR="00EF24C0" w:rsidRPr="00EF24C0" w:rsidRDefault="00EF24C0" w:rsidP="00A9345F">
            <w:pPr>
              <w:spacing w:after="0"/>
              <w:rPr>
                <w:b/>
              </w:rPr>
            </w:pPr>
          </w:p>
        </w:tc>
      </w:tr>
    </w:tbl>
    <w:p w:rsidR="00EF24C0" w:rsidRPr="00EF24C0" w:rsidRDefault="00EF24C0" w:rsidP="00EF24C0">
      <w:pPr>
        <w:suppressAutoHyphens w:val="0"/>
        <w:spacing w:after="0" w:line="276" w:lineRule="auto"/>
        <w:jc w:val="center"/>
        <w:rPr>
          <w:b/>
          <w:lang w:eastAsia="ru-RU"/>
        </w:rPr>
      </w:pPr>
      <w:r w:rsidRPr="00EF24C0">
        <w:rPr>
          <w:b/>
          <w:lang w:eastAsia="ru-RU"/>
        </w:rPr>
        <w:t>О перерасчете  размеров страховых пенсий</w:t>
      </w:r>
    </w:p>
    <w:p w:rsidR="00EF24C0" w:rsidRPr="00EF24C0" w:rsidRDefault="00EF24C0" w:rsidP="00EF24C0">
      <w:pPr>
        <w:suppressAutoHyphens w:val="0"/>
        <w:spacing w:after="0" w:line="276" w:lineRule="auto"/>
        <w:jc w:val="center"/>
        <w:rPr>
          <w:b/>
          <w:lang w:eastAsia="ru-RU"/>
        </w:rPr>
      </w:pPr>
      <w:r w:rsidRPr="00EF24C0">
        <w:rPr>
          <w:b/>
          <w:lang w:eastAsia="ru-RU"/>
        </w:rPr>
        <w:t>с учётом индивидуального пенсионного коэффициента за 2019 год</w:t>
      </w:r>
    </w:p>
    <w:p w:rsidR="00EF24C0" w:rsidRPr="00EF24C0" w:rsidRDefault="00EF24C0" w:rsidP="00EF24C0">
      <w:pPr>
        <w:suppressAutoHyphens w:val="0"/>
        <w:spacing w:after="0" w:line="276" w:lineRule="auto"/>
        <w:jc w:val="center"/>
        <w:rPr>
          <w:b/>
          <w:lang w:eastAsia="ru-RU"/>
        </w:rPr>
      </w:pPr>
      <w:r w:rsidRPr="00EF24C0">
        <w:rPr>
          <w:b/>
          <w:lang w:eastAsia="ru-RU"/>
        </w:rPr>
        <w:t>с 1 августа 2020 года</w:t>
      </w:r>
    </w:p>
    <w:p w:rsidR="00EF24C0" w:rsidRPr="00EF24C0" w:rsidRDefault="00EF24C0" w:rsidP="00EF24C0">
      <w:pPr>
        <w:suppressAutoHyphens w:val="0"/>
        <w:spacing w:after="0" w:line="276" w:lineRule="auto"/>
        <w:jc w:val="both"/>
        <w:rPr>
          <w:b/>
          <w:lang w:eastAsia="ru-RU"/>
        </w:rPr>
      </w:pPr>
    </w:p>
    <w:p w:rsidR="00EF24C0" w:rsidRPr="00EF24C0" w:rsidRDefault="00EF24C0" w:rsidP="00EF24C0">
      <w:pPr>
        <w:suppressAutoHyphens w:val="0"/>
        <w:spacing w:after="0"/>
        <w:ind w:firstLine="540"/>
        <w:jc w:val="both"/>
        <w:rPr>
          <w:rFonts w:eastAsia="Arial Unicode MS"/>
          <w:u w:val="single"/>
          <w:lang w:eastAsia="ru-RU"/>
        </w:rPr>
      </w:pPr>
      <w:bookmarkStart w:id="0" w:name="_GoBack"/>
      <w:bookmarkEnd w:id="0"/>
      <w:r w:rsidRPr="00EF24C0">
        <w:rPr>
          <w:rFonts w:eastAsia="Arial Unicode MS"/>
          <w:lang w:eastAsia="ru-RU"/>
        </w:rPr>
        <w:t xml:space="preserve">В июле 2020 года  территориальные органы Пенсионного фонда в очередной раз осуществили </w:t>
      </w:r>
      <w:r w:rsidRPr="00EF24C0">
        <w:rPr>
          <w:rFonts w:eastAsia="Arial Unicode MS"/>
          <w:u w:val="single"/>
          <w:lang w:eastAsia="ru-RU"/>
        </w:rPr>
        <w:t>мероприятия по перерасчету страховых пенсий с учетом индивидуального пенсионного коэффициента за прошлый год.</w:t>
      </w:r>
    </w:p>
    <w:p w:rsidR="00EF24C0" w:rsidRPr="00EF24C0" w:rsidRDefault="00EF24C0" w:rsidP="00EF24C0">
      <w:pPr>
        <w:suppressAutoHyphens w:val="0"/>
        <w:spacing w:after="0"/>
        <w:ind w:firstLine="540"/>
        <w:jc w:val="both"/>
        <w:rPr>
          <w:rFonts w:eastAsia="Arial Unicode MS"/>
          <w:u w:val="single"/>
          <w:lang w:eastAsia="ru-RU"/>
        </w:rPr>
      </w:pPr>
      <w:proofErr w:type="gramStart"/>
      <w:r w:rsidRPr="00EF24C0">
        <w:rPr>
          <w:rFonts w:eastAsia="Arial Unicode MS"/>
          <w:lang w:eastAsia="ru-RU"/>
        </w:rPr>
        <w:t>Согласно п.3 ч.2 ст.18 Федерального закона от 28.12.2013 № 400-ФЗ  «О страховых пенсиях», действующего с 1 января 2015 года, в случае увеличения по данным индивидуального (персонифицированного) учета в системе обязательного пенсионного страхования    величины индивидуального пенсионного коэффициента, определяемой исходя из суммы страховых взносов на страховую пенсию, не учтенных при назначении (предыдущем перерасчете) пенсии, осуществляется перерасчет  размера страховой пенсии.</w:t>
      </w:r>
      <w:proofErr w:type="gramEnd"/>
      <w:r w:rsidRPr="00EF24C0">
        <w:rPr>
          <w:rFonts w:eastAsia="Arial Unicode MS"/>
          <w:lang w:eastAsia="ru-RU"/>
        </w:rPr>
        <w:t xml:space="preserve"> Такой перерасчет производится без заявления пенсионера с 1 августа каждого года.    </w:t>
      </w:r>
    </w:p>
    <w:p w:rsidR="00EF24C0" w:rsidRPr="00EF24C0" w:rsidRDefault="00EF24C0" w:rsidP="00EF24C0">
      <w:pPr>
        <w:suppressAutoHyphens w:val="0"/>
        <w:spacing w:after="0"/>
        <w:jc w:val="both"/>
        <w:rPr>
          <w:lang w:eastAsia="ru-RU"/>
        </w:rPr>
      </w:pPr>
      <w:r w:rsidRPr="00EF24C0">
        <w:rPr>
          <w:lang w:eastAsia="ru-RU"/>
        </w:rPr>
        <w:t xml:space="preserve">В результате перерасчёт размеров страховых пенсий с 1 августа 2020 года произведён </w:t>
      </w:r>
      <w:r w:rsidRPr="00EF24C0">
        <w:rPr>
          <w:b/>
          <w:lang w:eastAsia="ru-RU"/>
        </w:rPr>
        <w:t>109141</w:t>
      </w:r>
      <w:r w:rsidRPr="00EF24C0">
        <w:rPr>
          <w:lang w:eastAsia="ru-RU"/>
        </w:rPr>
        <w:t xml:space="preserve"> получателю пенсий в Ярославской области. </w:t>
      </w:r>
    </w:p>
    <w:p w:rsidR="00EF24C0" w:rsidRPr="00EF24C0" w:rsidRDefault="00EF24C0" w:rsidP="00EF24C0">
      <w:pPr>
        <w:suppressAutoHyphens w:val="0"/>
        <w:spacing w:after="0"/>
        <w:jc w:val="both"/>
        <w:rPr>
          <w:lang w:eastAsia="ru-RU"/>
        </w:rPr>
      </w:pPr>
      <w:r w:rsidRPr="00EF24C0">
        <w:rPr>
          <w:lang w:eastAsia="ru-RU"/>
        </w:rPr>
        <w:t xml:space="preserve">При перерасчете согласно законодательству во внимание принимается  не более 3-х не учтенных ранее  индивидуальных пенсионных коэффициентов. Учитывая то, что стоимость индивидуального пенсионного коэффициента, утвержденная законодательно на 2020 год, составляет 93 рубля, максимальное увеличение размера страховой пенсии с 1 августа 2020 года составит 279 рублей.  Средний размер увеличения страховой пенсии в результате перерасчёта составил </w:t>
      </w:r>
      <w:r w:rsidRPr="00EF24C0">
        <w:rPr>
          <w:b/>
          <w:lang w:eastAsia="ru-RU"/>
        </w:rPr>
        <w:t>183</w:t>
      </w:r>
      <w:r w:rsidRPr="00EF24C0">
        <w:rPr>
          <w:lang w:eastAsia="ru-RU"/>
        </w:rPr>
        <w:t xml:space="preserve"> рубля. </w:t>
      </w:r>
    </w:p>
    <w:p w:rsidR="00EF24C0" w:rsidRPr="00EF24C0" w:rsidRDefault="00EF24C0" w:rsidP="00EF24C0">
      <w:pPr>
        <w:suppressAutoHyphens w:val="0"/>
        <w:spacing w:after="0"/>
        <w:ind w:firstLine="540"/>
        <w:jc w:val="both"/>
        <w:rPr>
          <w:rFonts w:eastAsia="Arial Unicode MS"/>
          <w:u w:val="single"/>
          <w:lang w:eastAsia="ru-RU"/>
        </w:rPr>
      </w:pPr>
    </w:p>
    <w:p w:rsidR="00EF24C0" w:rsidRPr="00EF24C0" w:rsidRDefault="00EF24C0" w:rsidP="00EF24C0">
      <w:pPr>
        <w:suppressAutoHyphens w:val="0"/>
        <w:spacing w:after="0"/>
        <w:ind w:firstLine="540"/>
        <w:jc w:val="both"/>
        <w:rPr>
          <w:rFonts w:eastAsia="Arial Unicode MS"/>
          <w:lang w:eastAsia="ru-RU"/>
        </w:rPr>
      </w:pPr>
    </w:p>
    <w:p w:rsidR="00EF24C0" w:rsidRPr="00EF24C0" w:rsidRDefault="00EF24C0" w:rsidP="00EF24C0">
      <w:pPr>
        <w:suppressAutoHyphens w:val="0"/>
        <w:spacing w:after="0"/>
        <w:jc w:val="right"/>
        <w:rPr>
          <w:lang w:eastAsia="ru-RU"/>
        </w:rPr>
      </w:pPr>
      <w:r w:rsidRPr="00EF24C0">
        <w:rPr>
          <w:lang w:eastAsia="ru-RU"/>
        </w:rPr>
        <w:t xml:space="preserve">Начальник отдела организации </w:t>
      </w:r>
    </w:p>
    <w:p w:rsidR="00EF24C0" w:rsidRPr="00EF24C0" w:rsidRDefault="00EF24C0" w:rsidP="00EF24C0">
      <w:pPr>
        <w:suppressAutoHyphens w:val="0"/>
        <w:spacing w:after="0"/>
        <w:jc w:val="right"/>
        <w:rPr>
          <w:lang w:eastAsia="ru-RU"/>
        </w:rPr>
      </w:pPr>
      <w:r w:rsidRPr="00EF24C0">
        <w:rPr>
          <w:lang w:eastAsia="ru-RU"/>
        </w:rPr>
        <w:t xml:space="preserve">назначения и перерасчета пенсий </w:t>
      </w:r>
    </w:p>
    <w:p w:rsidR="00EF24C0" w:rsidRPr="00EF24C0" w:rsidRDefault="00EF24C0" w:rsidP="00EF24C0">
      <w:pPr>
        <w:suppressAutoHyphens w:val="0"/>
        <w:spacing w:after="0"/>
        <w:jc w:val="right"/>
        <w:rPr>
          <w:lang w:eastAsia="ru-RU"/>
        </w:rPr>
      </w:pPr>
      <w:r w:rsidRPr="00EF24C0">
        <w:rPr>
          <w:lang w:eastAsia="ru-RU"/>
        </w:rPr>
        <w:t>Отделения ПФР по Ярославской области</w:t>
      </w:r>
    </w:p>
    <w:p w:rsidR="00EF24C0" w:rsidRPr="00EF24C0" w:rsidRDefault="00EF24C0" w:rsidP="00EF24C0">
      <w:pPr>
        <w:suppressAutoHyphens w:val="0"/>
        <w:spacing w:after="0"/>
        <w:jc w:val="right"/>
        <w:rPr>
          <w:i/>
          <w:iCs/>
          <w:lang w:eastAsia="ru-RU"/>
        </w:rPr>
      </w:pPr>
      <w:proofErr w:type="spellStart"/>
      <w:r w:rsidRPr="00EF24C0">
        <w:rPr>
          <w:lang w:eastAsia="ru-RU"/>
        </w:rPr>
        <w:t>Г.Н.Фалина</w:t>
      </w:r>
      <w:proofErr w:type="spellEnd"/>
    </w:p>
    <w:p w:rsidR="00EF24C0" w:rsidRPr="00EF24C0" w:rsidRDefault="00EF24C0" w:rsidP="00EF24C0">
      <w:pPr>
        <w:spacing w:after="0" w:line="100" w:lineRule="atLeast"/>
        <w:ind w:firstLine="0"/>
        <w:jc w:val="both"/>
      </w:pPr>
    </w:p>
    <w:p w:rsidR="00EF24C0" w:rsidRPr="00EF24C0" w:rsidRDefault="00EF24C0" w:rsidP="00EF24C0">
      <w:pPr>
        <w:suppressAutoHyphens w:val="0"/>
        <w:spacing w:after="0"/>
        <w:ind w:firstLine="540"/>
        <w:jc w:val="both"/>
        <w:rPr>
          <w:rFonts w:eastAsia="Arial Unicode MS"/>
          <w:lang w:eastAsia="ru-RU"/>
        </w:rPr>
      </w:pPr>
    </w:p>
    <w:p w:rsidR="00EF24C0" w:rsidRPr="00EF24C0" w:rsidRDefault="00EF24C0" w:rsidP="00EF24C0">
      <w:pPr>
        <w:suppressAutoHyphens w:val="0"/>
        <w:spacing w:after="0"/>
        <w:ind w:firstLine="540"/>
        <w:jc w:val="both"/>
        <w:rPr>
          <w:rFonts w:eastAsia="Arial Unicode MS"/>
          <w:lang w:eastAsia="ru-RU"/>
        </w:rPr>
      </w:pPr>
    </w:p>
    <w:p w:rsidR="00054A28" w:rsidRPr="00054A28" w:rsidRDefault="00054A28" w:rsidP="00EF24C0">
      <w:pPr>
        <w:pStyle w:val="1"/>
        <w:rPr>
          <w:b w:val="0"/>
        </w:rPr>
      </w:pP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74734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728DA"/>
    <w:rsid w:val="00ED4FC0"/>
    <w:rsid w:val="00EF0B09"/>
    <w:rsid w:val="00EF24C0"/>
    <w:rsid w:val="00F03620"/>
    <w:rsid w:val="00F1094C"/>
    <w:rsid w:val="00F516A5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848A-4241-44B2-A8D7-6DAF4C38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2020-04-03T12:45:00Z</cp:lastPrinted>
  <dcterms:created xsi:type="dcterms:W3CDTF">2020-07-28T11:57:00Z</dcterms:created>
  <dcterms:modified xsi:type="dcterms:W3CDTF">2020-07-28T11:57:00Z</dcterms:modified>
</cp:coreProperties>
</file>