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21" w:rsidRDefault="00E86B21" w:rsidP="00E86B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BE9D39" wp14:editId="70A23E30">
            <wp:extent cx="2609215" cy="1146175"/>
            <wp:effectExtent l="0" t="0" r="63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B21" w:rsidRDefault="00E86B21" w:rsidP="00C743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391" w:rsidRPr="00FF425A" w:rsidRDefault="00C74391" w:rsidP="0091007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0078" w:rsidRPr="00910078" w:rsidRDefault="00910078" w:rsidP="00910078">
      <w:pPr>
        <w:spacing w:after="0" w:line="360" w:lineRule="auto"/>
        <w:ind w:firstLine="567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В Ярославской области растет количество </w:t>
      </w:r>
      <w:r w:rsidRPr="00910078">
        <w:rPr>
          <w:rFonts w:ascii="Segoe UI" w:eastAsia="Times New Roman" w:hAnsi="Segoe UI" w:cs="Segoe UI"/>
          <w:b/>
          <w:sz w:val="28"/>
          <w:szCs w:val="28"/>
          <w:lang w:eastAsia="ru-RU"/>
        </w:rPr>
        <w:t>зарегистрированных санитарно-защитных зон</w:t>
      </w:r>
    </w:p>
    <w:p w:rsidR="00910078" w:rsidRDefault="00910078" w:rsidP="0091007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color w:val="000000" w:themeColor="text1"/>
          <w:sz w:val="24"/>
          <w:szCs w:val="24"/>
        </w:rPr>
      </w:pPr>
      <w:r w:rsidRPr="00910078">
        <w:rPr>
          <w:rFonts w:ascii="Segoe UI" w:eastAsia="Calibri" w:hAnsi="Segoe UI" w:cs="Segoe UI"/>
          <w:color w:val="000000" w:themeColor="text1"/>
          <w:sz w:val="24"/>
          <w:szCs w:val="24"/>
        </w:rPr>
        <w:t>В 2021 году в Кадастровую палату поступило в три раза больше документов на внесение в Единый государственный реестр недвижимости (ЕГРН) сведений о границах санитарно-защитных зон, чем в предыдущем.    В настоящее время реестр границ насчитывает более 160 санитарно-защитных зон.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color w:val="000000" w:themeColor="text1"/>
          <w:sz w:val="24"/>
          <w:szCs w:val="24"/>
        </w:rPr>
        <w:t xml:space="preserve">«Санитарно-защитные зоны являются зонами с особыми условиями использования территорий. На объекты недвижимости, расположенные внутри таких зон, накладывается </w:t>
      </w:r>
      <w:r w:rsidRPr="00910078">
        <w:rPr>
          <w:rFonts w:ascii="Segoe UI" w:eastAsia="Calibri" w:hAnsi="Segoe UI" w:cs="Segoe UI"/>
          <w:sz w:val="24"/>
          <w:szCs w:val="24"/>
        </w:rPr>
        <w:t>особый режим использования, а сведения о них подлежат обязательному внесению в ЕГРН», -  говорит заместитель директора Кадастровой палаты по Ярославской области Владимир Фомин.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Санитарно-защитная зона устанавливается вокруг предприятий и производств, наносящих вредное воздействие на среду обитания и здоровье человека. Она является своеобразным барьером, обеспечивающим безопасность жизнедеятельности. 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>Санитарно-защитные зоны устанавливаются также в отношении автомагистралей, линий железнодорожного транспорта, складских сооружений, котельных, нефтеперерабатывающих станций, газопроводов, скважин, очистных сооружений и др.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В 2021 году в ЕГРН внесены ведения о 84 санитарно-защитных зонах, из них: зона ОАО завода «Пролетарская свобода», зона </w:t>
      </w:r>
      <w:proofErr w:type="spellStart"/>
      <w:r w:rsidRPr="00910078">
        <w:rPr>
          <w:rFonts w:ascii="Segoe UI" w:eastAsia="Calibri" w:hAnsi="Segoe UI" w:cs="Segoe UI"/>
          <w:sz w:val="24"/>
          <w:szCs w:val="24"/>
        </w:rPr>
        <w:t>промплощадки</w:t>
      </w:r>
      <w:proofErr w:type="spellEnd"/>
      <w:r w:rsidRPr="00910078">
        <w:rPr>
          <w:rFonts w:ascii="Segoe UI" w:eastAsia="Calibri" w:hAnsi="Segoe UI" w:cs="Segoe UI"/>
          <w:sz w:val="24"/>
          <w:szCs w:val="24"/>
        </w:rPr>
        <w:t xml:space="preserve"> «Северной водопроводной станции», зона ПАО «</w:t>
      </w:r>
      <w:proofErr w:type="spellStart"/>
      <w:r w:rsidRPr="00910078">
        <w:rPr>
          <w:rFonts w:ascii="Segoe UI" w:eastAsia="Calibri" w:hAnsi="Segoe UI" w:cs="Segoe UI"/>
          <w:sz w:val="24"/>
          <w:szCs w:val="24"/>
        </w:rPr>
        <w:t>Тутаевского</w:t>
      </w:r>
      <w:proofErr w:type="spellEnd"/>
      <w:r w:rsidRPr="00910078">
        <w:rPr>
          <w:rFonts w:ascii="Segoe UI" w:eastAsia="Calibri" w:hAnsi="Segoe UI" w:cs="Segoe UI"/>
          <w:sz w:val="24"/>
          <w:szCs w:val="24"/>
        </w:rPr>
        <w:t xml:space="preserve"> моторного завода», зона ООО «Хартия», зона основной площадки АО «Ярославской бройлер», зона ООО «Рыбинский кабельный завод», зона ООО «Рыбинский грузовой </w:t>
      </w:r>
      <w:proofErr w:type="gramStart"/>
      <w:r w:rsidRPr="00910078">
        <w:rPr>
          <w:rFonts w:ascii="Segoe UI" w:eastAsia="Calibri" w:hAnsi="Segoe UI" w:cs="Segoe UI"/>
          <w:sz w:val="24"/>
          <w:szCs w:val="24"/>
        </w:rPr>
        <w:t>порт»  и</w:t>
      </w:r>
      <w:proofErr w:type="gramEnd"/>
      <w:r w:rsidRPr="00910078">
        <w:rPr>
          <w:rFonts w:ascii="Segoe UI" w:eastAsia="Calibri" w:hAnsi="Segoe UI" w:cs="Segoe UI"/>
          <w:sz w:val="24"/>
          <w:szCs w:val="24"/>
        </w:rPr>
        <w:t xml:space="preserve"> другие.</w:t>
      </w:r>
    </w:p>
    <w:p w:rsidR="00910078" w:rsidRPr="00910078" w:rsidRDefault="00910078" w:rsidP="00910078">
      <w:pPr>
        <w:spacing w:after="0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           Решение об установлении таких зон принимает </w:t>
      </w:r>
      <w:proofErr w:type="spellStart"/>
      <w:proofErr w:type="gramStart"/>
      <w:r w:rsidRPr="00910078">
        <w:rPr>
          <w:rFonts w:ascii="Segoe UI" w:eastAsia="Calibri" w:hAnsi="Segoe UI" w:cs="Segoe UI"/>
          <w:sz w:val="24"/>
          <w:szCs w:val="24"/>
        </w:rPr>
        <w:t>Роспотребнадзор</w:t>
      </w:r>
      <w:proofErr w:type="spellEnd"/>
      <w:r w:rsidRPr="00910078">
        <w:rPr>
          <w:rFonts w:ascii="Segoe UI" w:eastAsia="Calibri" w:hAnsi="Segoe UI" w:cs="Segoe UI"/>
          <w:sz w:val="24"/>
          <w:szCs w:val="24"/>
        </w:rPr>
        <w:t>,  который</w:t>
      </w:r>
      <w:proofErr w:type="gramEnd"/>
      <w:r w:rsidRPr="00910078">
        <w:rPr>
          <w:rFonts w:ascii="Segoe UI" w:eastAsia="Calibri" w:hAnsi="Segoe UI" w:cs="Segoe UI"/>
          <w:sz w:val="24"/>
          <w:szCs w:val="24"/>
        </w:rPr>
        <w:t xml:space="preserve"> в дальнейшем направляет в орган регистрации прав документы для внесения сведений в ЕГРН. </w:t>
      </w:r>
    </w:p>
    <w:p w:rsidR="00910078" w:rsidRPr="00910078" w:rsidRDefault="00910078" w:rsidP="00910078">
      <w:pPr>
        <w:spacing w:after="0"/>
        <w:jc w:val="both"/>
        <w:rPr>
          <w:rFonts w:ascii="Segoe UI" w:eastAsia="Calibri" w:hAnsi="Segoe UI" w:cs="Segoe UI"/>
          <w:i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>«После внесения в Единый государственный реестр недвижимости  сведений о санитарной зоне, для земельных участков, находящихся в ее границах,  устанавливаются ограничения в использовании», -  отмечает Владимир Фомин.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В границах санитарно-защитных зон не допускается использование земельных участков для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ведения садоводства и другие. 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По периметру санитарной зоны устанавливаются специальные  обозначающие знаки. При отсутствии защитной области вокруг производства на компанию или </w:t>
      </w:r>
      <w:proofErr w:type="gramStart"/>
      <w:r w:rsidRPr="00910078">
        <w:rPr>
          <w:rFonts w:ascii="Segoe UI" w:eastAsia="Calibri" w:hAnsi="Segoe UI" w:cs="Segoe UI"/>
          <w:sz w:val="24"/>
          <w:szCs w:val="24"/>
        </w:rPr>
        <w:t xml:space="preserve">должностное  </w:t>
      </w:r>
      <w:r w:rsidR="00C03E8C">
        <w:rPr>
          <w:rFonts w:ascii="Segoe UI" w:eastAsia="Calibri" w:hAnsi="Segoe UI" w:cs="Segoe UI"/>
          <w:sz w:val="24"/>
          <w:szCs w:val="24"/>
        </w:rPr>
        <w:t>лицо</w:t>
      </w:r>
      <w:proofErr w:type="gramEnd"/>
      <w:r w:rsidR="00C03E8C">
        <w:rPr>
          <w:rFonts w:ascii="Segoe UI" w:eastAsia="Calibri" w:hAnsi="Segoe UI" w:cs="Segoe UI"/>
          <w:sz w:val="24"/>
          <w:szCs w:val="24"/>
        </w:rPr>
        <w:t xml:space="preserve"> </w:t>
      </w:r>
      <w:bookmarkStart w:id="0" w:name="_GoBack"/>
      <w:bookmarkEnd w:id="0"/>
      <w:r w:rsidRPr="00910078">
        <w:rPr>
          <w:rFonts w:ascii="Segoe UI" w:eastAsia="Calibri" w:hAnsi="Segoe UI" w:cs="Segoe UI"/>
          <w:sz w:val="24"/>
          <w:szCs w:val="24"/>
        </w:rPr>
        <w:t>может быть наложен административный штраф.</w:t>
      </w:r>
    </w:p>
    <w:p w:rsidR="00910078" w:rsidRPr="00910078" w:rsidRDefault="00910078" w:rsidP="00910078">
      <w:pPr>
        <w:spacing w:after="0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 w:rsidRPr="00910078">
        <w:rPr>
          <w:rFonts w:ascii="Segoe UI" w:eastAsia="Calibri" w:hAnsi="Segoe UI" w:cs="Segoe UI"/>
          <w:sz w:val="24"/>
          <w:szCs w:val="24"/>
        </w:rPr>
        <w:t xml:space="preserve">Получить информацию о санитарно-защитных зонах можно обратившись в орган регистрации прав через МФЦ «Мои документы». А также </w:t>
      </w:r>
      <w:proofErr w:type="gramStart"/>
      <w:r w:rsidRPr="00910078">
        <w:rPr>
          <w:rFonts w:ascii="Segoe UI" w:eastAsia="Calibri" w:hAnsi="Segoe UI" w:cs="Segoe UI"/>
          <w:sz w:val="24"/>
          <w:szCs w:val="24"/>
        </w:rPr>
        <w:t xml:space="preserve">воспользовавшись  </w:t>
      </w:r>
      <w:hyperlink r:id="rId5" w:history="1">
        <w:r w:rsidRPr="00910078">
          <w:rPr>
            <w:rStyle w:val="a4"/>
            <w:rFonts w:ascii="Segoe UI" w:eastAsia="Calibri" w:hAnsi="Segoe UI" w:cs="Segoe UI"/>
            <w:sz w:val="24"/>
            <w:szCs w:val="24"/>
          </w:rPr>
          <w:t>электронным</w:t>
        </w:r>
        <w:proofErr w:type="gramEnd"/>
        <w:r w:rsidRPr="00910078">
          <w:rPr>
            <w:rStyle w:val="a4"/>
            <w:rFonts w:ascii="Segoe UI" w:eastAsia="Calibri" w:hAnsi="Segoe UI" w:cs="Segoe UI"/>
            <w:sz w:val="24"/>
            <w:szCs w:val="24"/>
          </w:rPr>
          <w:t xml:space="preserve"> сервисом «Публичная кадастровая карта»</w:t>
        </w:r>
      </w:hyperlink>
      <w:r w:rsidRPr="00910078">
        <w:rPr>
          <w:rFonts w:ascii="Segoe UI" w:eastAsia="Calibri" w:hAnsi="Segoe UI" w:cs="Segoe UI"/>
          <w:sz w:val="24"/>
          <w:szCs w:val="24"/>
        </w:rPr>
        <w:t xml:space="preserve"> доступном на официальном сайте </w:t>
      </w:r>
      <w:proofErr w:type="spellStart"/>
      <w:r w:rsidRPr="00910078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910078">
        <w:rPr>
          <w:rFonts w:ascii="Segoe UI" w:eastAsia="Calibri" w:hAnsi="Segoe UI" w:cs="Segoe UI"/>
          <w:sz w:val="24"/>
          <w:szCs w:val="24"/>
        </w:rPr>
        <w:t>.</w:t>
      </w:r>
    </w:p>
    <w:p w:rsidR="003C0934" w:rsidRPr="00910078" w:rsidRDefault="003C0934" w:rsidP="0091007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FBFB"/>
        </w:rPr>
      </w:pPr>
    </w:p>
    <w:p w:rsidR="003C0934" w:rsidRDefault="00EE6DA3" w:rsidP="003C0934">
      <w:pPr>
        <w:jc w:val="both"/>
        <w:rPr>
          <w:rFonts w:ascii="Segoe UI" w:hAnsi="Segoe UI" w:cs="Segoe UI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  </w:t>
      </w:r>
      <w:r w:rsidR="003C0934">
        <w:rPr>
          <w:rFonts w:ascii="Segoe UI" w:hAnsi="Segoe UI" w:cs="Segoe UI"/>
        </w:rPr>
        <w:t xml:space="preserve">        ________________________________</w:t>
      </w:r>
    </w:p>
    <w:p w:rsidR="003C0934" w:rsidRDefault="003C0934" w:rsidP="003C0934">
      <w:pPr>
        <w:pStyle w:val="a8"/>
        <w:rPr>
          <w:sz w:val="16"/>
          <w:szCs w:val="16"/>
        </w:rPr>
      </w:pPr>
    </w:p>
    <w:p w:rsidR="003C0934" w:rsidRDefault="003C0934" w:rsidP="003C0934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Филиала ФГБУ «ФКП Росреестра» по</w:t>
      </w:r>
    </w:p>
    <w:p w:rsidR="003C0934" w:rsidRDefault="003C0934" w:rsidP="003C0934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Ярославской области</w:t>
      </w:r>
    </w:p>
    <w:p w:rsidR="003C0934" w:rsidRDefault="003C0934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3C0934" w:rsidRDefault="00C03E8C" w:rsidP="003C0934">
      <w:pPr>
        <w:pStyle w:val="a8"/>
        <w:rPr>
          <w:rFonts w:ascii="Segoe UI" w:hAnsi="Segoe UI" w:cs="Segoe UI"/>
          <w:color w:val="000000"/>
          <w:sz w:val="16"/>
          <w:szCs w:val="16"/>
        </w:rPr>
      </w:pPr>
      <w:hyperlink r:id="rId6" w:history="1"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press</w:t>
        </w:r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@76.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kadastr</w:t>
        </w:r>
        <w:proofErr w:type="spellEnd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</w:rPr>
          <w:t>.</w:t>
        </w:r>
        <w:proofErr w:type="spellStart"/>
        <w:r w:rsidR="003C0934">
          <w:rPr>
            <w:rStyle w:val="a4"/>
            <w:rFonts w:ascii="Segoe UI" w:hAnsi="Segoe UI" w:cs="Segoe UI"/>
            <w:color w:val="000000"/>
            <w:sz w:val="16"/>
            <w:szCs w:val="16"/>
            <w:lang w:val="en-US"/>
          </w:rPr>
          <w:t>ru</w:t>
        </w:r>
        <w:proofErr w:type="spellEnd"/>
      </w:hyperlink>
    </w:p>
    <w:p w:rsidR="003C0934" w:rsidRDefault="003C09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144FC0"/>
    <w:rsid w:val="002E579A"/>
    <w:rsid w:val="003C0934"/>
    <w:rsid w:val="004D7B8A"/>
    <w:rsid w:val="004F69D5"/>
    <w:rsid w:val="0054562A"/>
    <w:rsid w:val="00631F45"/>
    <w:rsid w:val="006D5A68"/>
    <w:rsid w:val="007033C5"/>
    <w:rsid w:val="007E3552"/>
    <w:rsid w:val="008A11A1"/>
    <w:rsid w:val="008C50A7"/>
    <w:rsid w:val="00910078"/>
    <w:rsid w:val="0099032B"/>
    <w:rsid w:val="00AD75FD"/>
    <w:rsid w:val="00C03E8C"/>
    <w:rsid w:val="00C74391"/>
    <w:rsid w:val="00E86B21"/>
    <w:rsid w:val="00E9476F"/>
    <w:rsid w:val="00E95AAB"/>
    <w:rsid w:val="00EE6DA3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EBE1-F583-4EA2-B13A-3C4AE37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semiHidden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76.kadastr.ru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Анисимова Марина Сергеевна</cp:lastModifiedBy>
  <cp:revision>14</cp:revision>
  <cp:lastPrinted>2022-05-04T06:08:00Z</cp:lastPrinted>
  <dcterms:created xsi:type="dcterms:W3CDTF">2022-01-21T12:00:00Z</dcterms:created>
  <dcterms:modified xsi:type="dcterms:W3CDTF">2022-05-04T12:23:00Z</dcterms:modified>
</cp:coreProperties>
</file>